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791CF2"/>
          <w:sz w:val="18"/>
          <w:szCs w:val="18"/>
        </w:rPr>
        <w:t xml:space="preserve">revuededirection.fr by Intersektion</w:t>
      </w:r>
    </w:p>
    <w:p>
      <w:pPr>
        <w:pStyle w:val="Title"/>
        <w:spacing w:after="80"/>
      </w:pPr>
      <w:r>
        <w:t xml:space="preserve">Compte rendu de revue de direction ISO 14001</w:t>
      </w:r>
    </w:p>
    <w:p>
      <w:pPr>
        <w:spacing w:after="160" w:before="0"/>
      </w:pPr>
      <w:r>
        <w:rPr>
          <w:color w:val="6B7280"/>
          <w:sz w:val="20"/>
          <w:szCs w:val="20"/>
        </w:rPr>
        <w:t xml:space="preserve">Trame structurée selon les éléments d'entrée et de sortie de la clause 9.3 d'ISO 14001 (éditions 2015 et 2026).</w:t>
      </w:r>
    </w:p>
    <w:p>
      <w:pPr>
        <w:pStyle w:val="Heading2"/>
        <w:spacing w:after="120" w:before="240"/>
      </w:pPr>
      <w:r>
        <w:t xml:space="preserve">Mode d'emploi</w:t>
      </w:r>
    </w:p>
    <w:p>
      <w:pPr>
        <w:pStyle w:val="ListParagraph"/>
        <w:numPr>
          <w:ilvl w:val="0"/>
          <w:numId w:val="2"/>
        </w:numPr>
        <w:spacing w:after="40"/>
      </w:pPr>
      <w:r>
        <w:rPr>
          <w:sz w:val="20"/>
          <w:szCs w:val="20"/>
        </w:rPr>
        <w:t xml:space="preserve">Remplissez les tableaux avant la réunion avec les données réelles, puis complétez les colonnes « Analyse » et « Décision » pendant la revue.</w:t>
      </w:r>
    </w:p>
    <w:p>
      <w:pPr>
        <w:pStyle w:val="ListParagraph"/>
        <w:numPr>
          <w:ilvl w:val="0"/>
          <w:numId w:val="2"/>
        </w:numPr>
        <w:spacing w:after="40"/>
      </w:pPr>
      <w:r>
        <w:rPr>
          <w:sz w:val="20"/>
          <w:szCs w:val="20"/>
        </w:rPr>
        <w:t xml:space="preserve">Les lignes sur fond violet clair sont des exemples fictifs : remplacez-les ou supprimez-les.</w:t>
      </w:r>
    </w:p>
    <w:p>
      <w:pPr>
        <w:pStyle w:val="ListParagraph"/>
        <w:numPr>
          <w:ilvl w:val="0"/>
          <w:numId w:val="2"/>
        </w:numPr>
        <w:spacing w:after="40"/>
      </w:pPr>
      <w:r>
        <w:rPr>
          <w:sz w:val="20"/>
          <w:szCs w:val="20"/>
        </w:rPr>
        <w:t xml:space="preserve">Les références de clause sont indicatives. Les libellés sont reformulés : reportez-vous à votre exemplaire de la norme pour le texte exact.</w:t>
      </w:r>
    </w:p>
    <w:p>
      <w:pPr>
        <w:pStyle w:val="ListParagraph"/>
        <w:numPr>
          <w:ilvl w:val="0"/>
          <w:numId w:val="2"/>
        </w:numPr>
        <w:spacing w:after="40"/>
      </w:pPr>
      <w:r>
        <w:rPr>
          <w:sz w:val="20"/>
          <w:szCs w:val="20"/>
        </w:rPr>
        <w:t xml:space="preserve">Conservez ce compte rendu signé : c'est l'information documentée que l'auditeur demandera comme preuve des résultats de la revue.</w:t>
      </w:r>
    </w:p>
    <w:p>
      <w:pPr>
        <w:pStyle w:val="ListParagraph"/>
        <w:numPr>
          <w:ilvl w:val="0"/>
          <w:numId w:val="2"/>
        </w:numPr>
        <w:spacing w:after="40"/>
      </w:pPr>
      <w:r>
        <w:rPr>
          <w:sz w:val="20"/>
          <w:szCs w:val="20"/>
        </w:rPr>
        <w:t xml:space="preserve">Joignez l'évaluation de conformité réglementaire à jour : c'est l'élément d'entrée que les auditeurs vérifient le plus souvent.</w:t>
      </w:r>
    </w:p>
    <w:p>
      <w:pPr>
        <w:pStyle w:val="Heading1"/>
        <w:spacing w:after="120" w:before="240"/>
      </w:pPr>
      <w:r>
        <w:t xml:space="preserve">1. Identification de la revue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10838"/>
      </w:tblGrid>
      <w:tr>
        <w:trPr>
          <w:tblHeader/>
        </w:trPr>
        <w:tc>
          <w:tcPr>
            <w:tcW w:type="dxa" w:w="42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Rubrique</w:t>
            </w:r>
          </w:p>
        </w:tc>
        <w:tc>
          <w:tcPr>
            <w:tcW w:type="dxa" w:w="108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À compléter</w:t>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Organisme et périmètre certifié</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Site(s) concerné(s)</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Date et lieu de la réunion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Période couverte par les données</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Animateur (pilote du système)</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Participants (nom, fonction)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Membres de la direction excusés</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Référentiel et édition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ISO 14001:2015 (amendement 1:2024) ou ISO 14001:2026 — rayer la mention inutile</w:t>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Version du compte rendu et date de diffusion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2. Suivi des actions décidées lors de la revue précédente</w:t>
      </w:r>
    </w:p>
    <w:p>
      <w:pPr>
        <w:spacing w:after="80" w:before="0"/>
      </w:pPr>
      <w:r>
        <w:rPr>
          <w:color w:val="6B7280"/>
          <w:sz w:val="20"/>
          <w:szCs w:val="20"/>
        </w:rPr>
        <w:t xml:space="preserve">Une action « en cours » depuis deux revues doit être replanifiée, réaffectée ou abandonnée de façon explicite.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300"/>
        <w:gridCol w:w="2100"/>
        <w:gridCol w:w="1500"/>
        <w:gridCol w:w="1700"/>
        <w:gridCol w:w="4738"/>
      </w:tblGrid>
      <w:tr>
        <w:trPr>
          <w:tblHeader/>
        </w:trPr>
        <w:tc>
          <w:tcPr>
            <w:tcW w:type="dxa" w:w="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N°</w:t>
            </w:r>
          </w:p>
        </w:tc>
        <w:tc>
          <w:tcPr>
            <w:tcW w:type="dxa" w:w="43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Action décidée</w:t>
            </w:r>
          </w:p>
        </w:tc>
        <w:tc>
          <w:tcPr>
            <w:tcW w:type="dxa" w:w="21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Responsable</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Échéance</w:t>
            </w:r>
          </w:p>
        </w:tc>
        <w:tc>
          <w:tcPr>
            <w:tcW w:type="dxa" w:w="1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Statut</w:t>
            </w:r>
          </w:p>
        </w:tc>
        <w:tc>
          <w:tcPr>
            <w:tcW w:type="dxa" w:w="47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Commentaire / preuve</w:t>
            </w:r>
          </w:p>
        </w:tc>
      </w:tr>
      <w:tr>
        <w:trPr>
          <w:cantSplit/>
        </w:trPr>
        <w:tc>
          <w:tcPr>
            <w:tcW w:type="dxa" w:w="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w:t>
            </w:r>
          </w:p>
        </w:tc>
        <w:tc>
          <w:tcPr>
            <w:tcW w:type="dxa" w:w="43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remplacer le stockage de produits chimiques sans rétention</w:t>
            </w:r>
          </w:p>
        </w:tc>
        <w:tc>
          <w:tcPr>
            <w:tcW w:type="dxa" w:w="21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Responsable maintenance</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31/05</w:t>
            </w:r>
          </w:p>
        </w:tc>
        <w:tc>
          <w:tcPr>
            <w:tcW w:type="dxa" w:w="1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En cours</w:t>
            </w:r>
          </w:p>
        </w:tc>
        <w:tc>
          <w:tcPr>
            <w:tcW w:type="dxa" w:w="47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Bacs commandés, installation prévue en juin</w:t>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3. Éléments d'entrée examinés</w:t>
      </w:r>
    </w:p>
    <w:p>
      <w:pPr>
        <w:spacing w:after="80" w:before="0"/>
      </w:pPr>
      <w:r>
        <w:rPr>
          <w:color w:val="6B7280"/>
          <w:sz w:val="20"/>
          <w:szCs w:val="20"/>
        </w:rPr>
        <w:t xml:space="preserve">Chaque élément d'entrée doit être présenté avec des données, analysé (tendance, écart, cause) et conclu. Un élément sans objet se justifie en une phrase ; il ne se laisse pas vide.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1200"/>
        <w:gridCol w:w="3700"/>
        <w:gridCol w:w="3600"/>
        <w:gridCol w:w="2938"/>
      </w:tblGrid>
      <w:tr>
        <w:trPr>
          <w:tblHeader/>
        </w:trPr>
        <w:tc>
          <w:tcPr>
            <w:tcW w:type="dxa" w:w="3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Élément d'entrée (libellé reformulé)</w:t>
            </w:r>
          </w:p>
        </w:tc>
        <w:tc>
          <w:tcPr>
            <w:tcW w:type="dxa" w:w="12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Réf.</w:t>
            </w:r>
          </w:p>
        </w:tc>
        <w:tc>
          <w:tcPr>
            <w:tcW w:type="dxa" w:w="3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Données et preuves présentées</w:t>
            </w:r>
          </w:p>
        </w:tc>
        <w:tc>
          <w:tcPr>
            <w:tcW w:type="dxa" w:w="3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Analyse (tendance, écart, cause)</w:t>
            </w:r>
          </w:p>
        </w:tc>
        <w:tc>
          <w:tcPr>
            <w:tcW w:type="dxa" w:w="29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Conclusion</w:t>
            </w:r>
          </w:p>
        </w:tc>
      </w:tr>
      <w:tr>
        <w:trPr>
          <w:cantSplit/>
        </w:trPr>
        <w:tc>
          <w:tcPr>
            <w:tcW w:type="dxa" w:w="3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respect des obligations de conformité</w:t>
            </w:r>
          </w:p>
        </w:tc>
        <w:tc>
          <w:tcPr>
            <w:tcW w:type="dxa" w:w="12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9.3 d) 3</w:t>
            </w:r>
          </w:p>
        </w:tc>
        <w:tc>
          <w:tcPr>
            <w:tcW w:type="dxa" w:w="3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Évaluation de conformité de mars : 2 écarts sur 64 exigences</w:t>
            </w:r>
          </w:p>
        </w:tc>
        <w:tc>
          <w:tcPr>
            <w:tcW w:type="dxa" w:w="3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Arrêté préfectoral mis à jour non pris en compte</w:t>
            </w:r>
          </w:p>
        </w:tc>
        <w:tc>
          <w:tcPr>
            <w:tcW w:type="dxa" w:w="29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Critique</w:t>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État des actions décidées lors des revues précédentes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a)</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Évolution des enjeux externes et internes, dont le climat et les autres conditions environnementales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b) 1</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Évolution des besoins et attentes des parties intéressées, y compris les obligations de conformité</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b) 2</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Évolution des aspects environnementaux significatifs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b) 3</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Évolution des risques et opportunités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b) 4</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Degré de réalisation des objectifs environnementaux</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c)</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Performance environnementale : non-conformités et actions correctives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d) 1</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Performance environnementale : résultats de surveillance et de mesure</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d) 2</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Performance environnementale : respect des obligations de conformité</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d) 3</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Performance environnementale : résultats d'audits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d) 4</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Adéquation des ressources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e)</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Communications pertinentes des parties intéressées, y compris les plaintes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f)</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Opportunités d'amélioration continue</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g)</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4. Tableau de bord des indicateurs</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2300"/>
        <w:gridCol w:w="1500"/>
        <w:gridCol w:w="1500"/>
        <w:gridCol w:w="1400"/>
        <w:gridCol w:w="4438"/>
      </w:tblGrid>
      <w:tr>
        <w:trPr>
          <w:tblHeader/>
        </w:trPr>
        <w:tc>
          <w:tcPr>
            <w:tcW w:type="dxa" w:w="39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Indicateur</w:t>
            </w:r>
          </w:p>
        </w:tc>
        <w:tc>
          <w:tcPr>
            <w:tcW w:type="dxa" w:w="23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Objectif</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Année N-1</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Année N</w:t>
            </w:r>
          </w:p>
        </w:tc>
        <w:tc>
          <w:tcPr>
            <w:tcW w:type="dxa" w:w="14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Tendance</w:t>
            </w:r>
          </w:p>
        </w:tc>
        <w:tc>
          <w:tcPr>
            <w:tcW w:type="dxa" w:w="44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Commentaire</w:t>
            </w:r>
          </w:p>
        </w:tc>
      </w:tr>
      <w:tr>
        <w:trPr>
          <w:cantSplit/>
        </w:trPr>
        <w:tc>
          <w:tcPr>
            <w:tcW w:type="dxa" w:w="39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consommation d'électricité par tonne produite</w:t>
            </w:r>
          </w:p>
        </w:tc>
        <w:tc>
          <w:tcPr>
            <w:tcW w:type="dxa" w:w="23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- 5 % par an</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412 kWh/t</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398 kWh/t</w:t>
            </w:r>
          </w:p>
        </w:tc>
        <w:tc>
          <w:tcPr>
            <w:tcW w:type="dxa" w:w="14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En baisse</w:t>
            </w:r>
          </w:p>
        </w:tc>
        <w:tc>
          <w:tcPr>
            <w:tcW w:type="dxa" w:w="44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Objectif non atteint (- 3,4 %)</w:t>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5. Conclusions de la direction sur le système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2200"/>
        <w:gridCol w:w="8238"/>
      </w:tblGrid>
      <w:tr>
        <w:trPr>
          <w:tblHeader/>
        </w:trPr>
        <w:tc>
          <w:tcPr>
            <w:tcW w:type="dxa" w:w="4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Question</w:t>
            </w:r>
          </w:p>
        </w:tc>
        <w:tc>
          <w:tcPr>
            <w:tcW w:type="dxa" w:w="22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Réponse (oui / partiel / non)</w:t>
            </w:r>
          </w:p>
        </w:tc>
        <w:tc>
          <w:tcPr>
            <w:tcW w:type="dxa" w:w="82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Justification</w:t>
            </w:r>
          </w:p>
        </w:tc>
      </w:tr>
      <w:tr>
        <w:trPr>
          <w:cantSplit/>
        </w:trPr>
        <w:tc>
          <w:tcPr>
            <w:tcW w:type="dxa" w:w="4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Le système de management environnemental reste-t-il pertinent (adapté au contexte et aux activités actuelles) ?</w:t>
            </w:r>
          </w:p>
        </w:tc>
        <w:tc>
          <w:tcPr>
            <w:tcW w:type="dxa" w:w="2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8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Le système de management environnemental est-il adéquat (suffisant pour couvrir les exigences) ?</w:t>
            </w:r>
          </w:p>
        </w:tc>
        <w:tc>
          <w:tcPr>
            <w:tcW w:type="dxa" w:w="2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8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Le système de management environnemental est-il efficace (atteint-il ses résultats attendus) ?</w:t>
            </w:r>
          </w:p>
        </w:tc>
        <w:tc>
          <w:tcPr>
            <w:tcW w:type="dxa" w:w="2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8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6. Éléments de sortie : décisions et actions</w:t>
      </w:r>
    </w:p>
    <w:p>
      <w:pPr>
        <w:spacing w:after="80" w:before="0"/>
      </w:pPr>
      <w:r>
        <w:rPr>
          <w:color w:val="6B7280"/>
          <w:sz w:val="20"/>
          <w:szCs w:val="20"/>
        </w:rPr>
        <w:t xml:space="preserve">Chaque décision a un responsable, une échéance et un moyen de vérifier qu'elle a produit son effet. Classez-la selon la catégorie de sortie attendue par la norme.</w:t>
      </w:r>
    </w:p>
    <w:p>
      <w:pPr>
        <w:spacing w:after="80" w:before="0"/>
      </w:pPr>
      <w:r>
        <w:rPr>
          <w:sz w:val="18"/>
          <w:szCs w:val="18"/>
        </w:rPr>
        <w:t xml:space="preserve">Catégories de sortie : conclusions sur la pertinence, l'adéquation et l'efficacité ; décisions sur les opportunités d'amélioration continue ; décisions sur les changements du système, y compris les ressources ; actions si des objectifs environnementaux ne sont pas atteints ; opportunités de mieux intégrer le système aux processus métier ; conséquences pour l'orientation stratégique.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300"/>
        <w:gridCol w:w="2600"/>
        <w:gridCol w:w="1900"/>
        <w:gridCol w:w="1500"/>
        <w:gridCol w:w="4038"/>
      </w:tblGrid>
      <w:tr>
        <w:trPr>
          <w:tblHeader/>
        </w:trPr>
        <w:tc>
          <w:tcPr>
            <w:tcW w:type="dxa" w:w="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N°</w:t>
            </w:r>
          </w:p>
        </w:tc>
        <w:tc>
          <w:tcPr>
            <w:tcW w:type="dxa" w:w="43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Décision ou action</w:t>
            </w:r>
          </w:p>
        </w:tc>
        <w:tc>
          <w:tcPr>
            <w:tcW w:type="dxa" w:w="2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Catégorie de sortie</w:t>
            </w:r>
          </w:p>
        </w:tc>
        <w:tc>
          <w:tcPr>
            <w:tcW w:type="dxa" w:w="19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Responsable</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Échéance</w:t>
            </w:r>
          </w:p>
        </w:tc>
        <w:tc>
          <w:tcPr>
            <w:tcW w:type="dxa" w:w="40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Indicateur d'efficacité</w:t>
            </w:r>
          </w:p>
        </w:tc>
      </w:tr>
      <w:tr>
        <w:trPr>
          <w:cantSplit/>
        </w:trPr>
        <w:tc>
          <w:tcPr>
            <w:tcW w:type="dxa" w:w="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w:t>
            </w:r>
          </w:p>
        </w:tc>
        <w:tc>
          <w:tcPr>
            <w:tcW w:type="dxa" w:w="43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intégrer la veille réglementaire au processus achats pour les nouveaux produits</w:t>
            </w:r>
          </w:p>
        </w:tc>
        <w:tc>
          <w:tcPr>
            <w:tcW w:type="dxa" w:w="2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Intégration aux processus métier</w:t>
            </w:r>
          </w:p>
        </w:tc>
        <w:tc>
          <w:tcPr>
            <w:tcW w:type="dxa" w:w="19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Responsable QSE</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30/04</w:t>
            </w:r>
          </w:p>
        </w:tc>
        <w:tc>
          <w:tcPr>
            <w:tcW w:type="dxa" w:w="40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Zéro écart réglementaire à la prochaine évaluation</w:t>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7. Objectifs non atteints et orientation stratégique</w:t>
      </w:r>
    </w:p>
    <w:p>
      <w:pPr>
        <w:spacing w:after="80" w:before="0"/>
      </w:pPr>
      <w:r>
        <w:rPr>
          <w:color w:val="6B7280"/>
          <w:sz w:val="20"/>
          <w:szCs w:val="20"/>
        </w:rPr>
        <w:t xml:space="preserve">La norme attend des actions lorsque des objectifs environnementaux ne sont pas atteints, et une lecture des conséquences pour la stratégie.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00"/>
        <w:gridCol w:w="3700"/>
        <w:gridCol w:w="3800"/>
        <w:gridCol w:w="3838"/>
      </w:tblGrid>
      <w:tr>
        <w:trPr>
          <w:tblHeader/>
        </w:trPr>
        <w:tc>
          <w:tcPr>
            <w:tcW w:type="dxa" w:w="3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Objectif non atteint</w:t>
            </w:r>
          </w:p>
        </w:tc>
        <w:tc>
          <w:tcPr>
            <w:tcW w:type="dxa" w:w="3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Cause identifiée</w:t>
            </w:r>
          </w:p>
        </w:tc>
        <w:tc>
          <w:tcPr>
            <w:tcW w:type="dxa" w:w="38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Action décidée</w:t>
            </w:r>
          </w:p>
        </w:tc>
        <w:tc>
          <w:tcPr>
            <w:tcW w:type="dxa" w:w="38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Conséquence pour la stratégie ou le budget</w:t>
            </w:r>
          </w:p>
        </w:tc>
      </w:tr>
      <w:tr>
        <w:trPr>
          <w:cantSplit/>
        </w:trPr>
        <w:tc>
          <w:tcPr>
            <w:tcW w:type="dxa" w:w="3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- 5 % d'électricité par tonne</w:t>
            </w:r>
          </w:p>
        </w:tc>
        <w:tc>
          <w:tcPr>
            <w:tcW w:type="dxa" w:w="3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Panne du compresseur récupérateur de chaleur</w:t>
            </w:r>
          </w:p>
        </w:tc>
        <w:tc>
          <w:tcPr>
            <w:tcW w:type="dxa" w:w="38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Remplacement inscrit au budget N+1</w:t>
            </w:r>
          </w:p>
        </w:tc>
        <w:tc>
          <w:tcPr>
            <w:tcW w:type="dxa" w:w="38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Investissement à arbitrer au comité de direction</w:t>
            </w:r>
          </w:p>
        </w:tc>
      </w:tr>
      <w:tr>
        <w:trPr>
          <w:cantSplit/>
        </w:trPr>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8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8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8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8. Validation</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4400"/>
        <w:gridCol w:w="2400"/>
        <w:gridCol w:w="4238"/>
      </w:tblGrid>
      <w:tr>
        <w:trPr>
          <w:tblHeader/>
        </w:trPr>
        <w:tc>
          <w:tcPr>
            <w:tcW w:type="dxa" w:w="40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Rôle</w:t>
            </w:r>
          </w:p>
        </w:tc>
        <w:tc>
          <w:tcPr>
            <w:tcW w:type="dxa" w:w="44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Nom</w:t>
            </w:r>
          </w:p>
        </w:tc>
        <w:tc>
          <w:tcPr>
            <w:tcW w:type="dxa" w:w="24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Date</w:t>
            </w:r>
          </w:p>
        </w:tc>
        <w:tc>
          <w:tcPr>
            <w:tcW w:type="dxa" w:w="42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Signature</w:t>
            </w:r>
          </w:p>
        </w:tc>
      </w:tr>
      <w:tr>
        <w:trPr>
          <w:cantSplit/>
        </w:trPr>
        <w:tc>
          <w:tcPr>
            <w:tcW w:type="dxa" w:w="40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Direction générale</w:t>
            </w:r>
          </w:p>
        </w:tc>
        <w:tc>
          <w:tcPr>
            <w:tcW w:type="dxa" w:w="4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0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Pilote du système de management</w:t>
            </w:r>
          </w:p>
        </w:tc>
        <w:tc>
          <w:tcPr>
            <w:tcW w:type="dxa" w:w="4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spacing w:after="80" w:before="160"/>
      </w:pPr>
      <w:r>
        <w:rPr>
          <w:sz w:val="20"/>
          <w:szCs w:val="20"/>
        </w:rPr>
        <w:t xml:space="preserve">Date prévue de la prochaine revue de direction : ……………………</w:t>
      </w:r>
    </w:p>
    <w:p>
      <w:pPr>
        <w:spacing w:after="80" w:before="200"/>
      </w:pPr>
      <w:r>
        <w:rPr>
          <w:color w:val="6B7280"/>
          <w:sz w:val="16"/>
          <w:szCs w:val="16"/>
        </w:rPr>
        <w:t xml:space="preserve">Trame proposée par Intersektion sur revuededirection.fr. Elle ne reproduit pas le texte de la norme, qui est protégé par le droit d'auteur et disponible auprès d'AFNOR ou de l'ISO. Libre d'utilisation et de modification au sein de votre organisme.</w:t>
      </w:r>
    </w:p>
    <w:sectPr>
      <w:headerReference w:type="default" r:id="rId6"/>
      <w:footerReference w:type="default" r:id="rId7"/>
      <w:pgSz w:w="16838" w:h="11906" w:orient="landscape"/>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revuededirection.fr by Intersektion · page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Revue de direction ISO 14001 · confidentiel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Arial" w:cs="Arial" w:eastAsia="Arial" w:hAnsi="Arial"/>
      <w:b/>
      <w:bCs/>
      <w:color w:val="131A53"/>
      <w:sz w:val="40"/>
      <w:szCs w:val="40"/>
    </w:rPr>
  </w:style>
  <w:style w:type="paragraph" w:styleId="Heading1">
    <w:name w:val="Heading 1"/>
    <w:basedOn w:val="Normal"/>
    <w:next w:val="Normal"/>
    <w:qFormat/>
    <w:pPr>
      <w:spacing w:after="120" w:before="280"/>
      <w:outlineLvl w:val="0"/>
    </w:pPr>
    <w:rPr>
      <w:rFonts w:ascii="Arial" w:cs="Arial" w:eastAsia="Arial" w:hAnsi="Arial"/>
      <w:b/>
      <w:bCs/>
      <w:color w:val="131A53"/>
      <w:sz w:val="28"/>
      <w:szCs w:val="28"/>
    </w:rPr>
  </w:style>
  <w:style w:type="paragraph" w:styleId="Heading2">
    <w:name w:val="Heading 2"/>
    <w:basedOn w:val="Normal"/>
    <w:next w:val="Normal"/>
    <w:qFormat/>
    <w:pPr>
      <w:spacing w:after="100" w:before="200"/>
      <w:outlineLvl w:val="1"/>
    </w:pPr>
    <w:rPr>
      <w:rFonts w:ascii="Arial" w:cs="Arial" w:eastAsia="Arial" w:hAnsi="Arial"/>
      <w:b/>
      <w:bCs/>
      <w:color w:val="791CF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de revue de direction ISO 14001</dc:title>
  <dc:creator>Intersektion</dc:creator>
  <cp:lastModifiedBy>Un-named</cp:lastModifiedBy>
  <cp:revision>1</cp:revision>
  <dcterms:created xsi:type="dcterms:W3CDTF">2026-10-30T14:10:39.400Z</dcterms:created>
  <dcterms:modified xsi:type="dcterms:W3CDTF">2026-10-30T14:10:39.400Z</dcterms:modified>
</cp:coreProperties>
</file>

<file path=docProps/custom.xml><?xml version="1.0" encoding="utf-8"?>
<Properties xmlns="http://schemas.openxmlformats.org/officeDocument/2006/custom-properties" xmlns:vt="http://schemas.openxmlformats.org/officeDocument/2006/docPropsVTypes"/>
</file>